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 день уважаемые председатель и члены экзаменационной комиссии!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готов представить доклад по теме выпускной квалификационной работы: Оптимизация инвестиционных процессов на предприятии.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EA7E75" w:rsidRDefault="004F5130" w:rsidP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 исследования выбранной темы обусловлена тем, что в</w:t>
      </w:r>
      <w:r>
        <w:rPr>
          <w:rFonts w:ascii="Times New Roman" w:hAnsi="Times New Roman" w:cs="Times New Roman"/>
          <w:sz w:val="24"/>
          <w:szCs w:val="24"/>
        </w:rPr>
        <w:t xml:space="preserve"> современных экономических условиях, характеризующихся высокой степенью неопределённости, колебаниями рыночной конъюнктуры и быстрым технологическим обновлением, способность предприятия эффекти</w:t>
      </w:r>
      <w:r>
        <w:rPr>
          <w:rFonts w:ascii="Times New Roman" w:hAnsi="Times New Roman" w:cs="Times New Roman"/>
          <w:sz w:val="24"/>
          <w:szCs w:val="24"/>
        </w:rPr>
        <w:t>вно осуществлять инвестиционную деятельность становится одним из ключевых факторов его долгосрочного выживания и устойчивого развития.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выделять три укрупненные стадии инвестиционного процесса: прединвестиционную, инвестиционную и эксплуатационную.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 подчеркнуть, что границы между фазами не всегда жесткие. На практике возможны частичное перекрытие (например, параллельное проведение проектных работ и закупки оборудования) или возвратные движения (когда на эксплуатационной стадии выявляются недост</w:t>
      </w:r>
      <w:r>
        <w:rPr>
          <w:rFonts w:ascii="Times New Roman" w:hAnsi="Times New Roman" w:cs="Times New Roman"/>
          <w:sz w:val="24"/>
          <w:szCs w:val="24"/>
        </w:rPr>
        <w:t>атки проектирования и приходится дорабатывать объект). Кроме того, полученная прибыль может быть направлена на реинвестирование – это замыкает цикл и превращает инвестиционный процесс в непрерывный. Таким образом, этапность инвестиционного процесса не явля</w:t>
      </w:r>
      <w:r>
        <w:rPr>
          <w:rFonts w:ascii="Times New Roman" w:hAnsi="Times New Roman" w:cs="Times New Roman"/>
          <w:sz w:val="24"/>
          <w:szCs w:val="24"/>
        </w:rPr>
        <w:t>ется линейной схемой раз и навсегда, а представляет собой гибкую конструкцию, требующую постоянной адаптации к изменяющимся условиям.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Использованные </w:t>
      </w:r>
      <w:r>
        <w:rPr>
          <w:rFonts w:ascii="Times New Roman" w:hAnsi="Times New Roman" w:cs="Times New Roman"/>
          <w:sz w:val="24"/>
          <w:szCs w:val="24"/>
        </w:rPr>
        <w:t>методы оценки инвестиционных процессов позволили провести</w:t>
      </w:r>
      <w:r>
        <w:rPr>
          <w:rFonts w:ascii="Times New Roman" w:hAnsi="Times New Roman" w:cs="Times New Roman"/>
          <w:sz w:val="24"/>
          <w:szCs w:val="24"/>
        </w:rPr>
        <w:t xml:space="preserve"> аналитику информации</w:t>
      </w:r>
      <w:r>
        <w:rPr>
          <w:rFonts w:ascii="Times New Roman" w:hAnsi="Times New Roman" w:cs="Times New Roman"/>
          <w:sz w:val="24"/>
          <w:szCs w:val="24"/>
        </w:rPr>
        <w:t xml:space="preserve"> об эффективности инвестиционного проекта. Для принятия обоснованного инвестиционного решения необходимо использовать комплексный подход, сочетающий несколько показателей, что позволяет учесть разные ас</w:t>
      </w:r>
      <w:r>
        <w:rPr>
          <w:rFonts w:ascii="Times New Roman" w:hAnsi="Times New Roman" w:cs="Times New Roman"/>
          <w:sz w:val="24"/>
          <w:szCs w:val="24"/>
        </w:rPr>
        <w:t>пекты эффективности: абсолютный прирост стоимости компании (NPV), относительную доходность (IRR) и период возврата вложенных средств (DPP). Выбор конкретного набора методов зависит от целей анализа, доступности данных о прогнозируемых денежных потоках и ст</w:t>
      </w:r>
      <w:r>
        <w:rPr>
          <w:rFonts w:ascii="Times New Roman" w:hAnsi="Times New Roman" w:cs="Times New Roman"/>
          <w:sz w:val="24"/>
          <w:szCs w:val="24"/>
        </w:rPr>
        <w:t>епени допустимого риска.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практического анализа инвестиционных процессов в качестве объекта исследования выбрано ООО «Шамса-Холдинг» – многопрофильная организация, являющаяся одним из системообразующих хозяйствующих субъектов Камчатс</w:t>
      </w:r>
      <w:r>
        <w:rPr>
          <w:rFonts w:ascii="Times New Roman" w:hAnsi="Times New Roman" w:cs="Times New Roman"/>
          <w:sz w:val="24"/>
          <w:szCs w:val="24"/>
        </w:rPr>
        <w:t>кого края.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Предприятие находится в устойчивом финансовом положении: собственный капитал вырос на 17</w:t>
      </w:r>
      <w:r>
        <w:rPr>
          <w:rFonts w:ascii="Times New Roman" w:hAnsi="Times New Roman" w:cs="Times New Roman"/>
          <w:sz w:val="24"/>
          <w:szCs w:val="24"/>
        </w:rPr>
        <w:t>% за три года, долговая нагрузка снижается, долгосрочные займы сократились на 22%, краткосрочные – практически до нуля, а ликвидность в виде денежных средс</w:t>
      </w:r>
      <w:r>
        <w:rPr>
          <w:rFonts w:ascii="Times New Roman" w:hAnsi="Times New Roman" w:cs="Times New Roman"/>
          <w:sz w:val="24"/>
          <w:szCs w:val="24"/>
        </w:rPr>
        <w:t>тв и краткосрочных вложений достигла почти 69</w:t>
      </w:r>
      <w:r>
        <w:rPr>
          <w:rFonts w:ascii="Times New Roman" w:hAnsi="Times New Roman" w:cs="Times New Roman"/>
          <w:sz w:val="24"/>
          <w:szCs w:val="24"/>
        </w:rPr>
        <w:t xml:space="preserve"> млн руб. При этом предприятие последовательно инвестирует во внеоборотные активы, в них прирост основных средств на 18</w:t>
      </w:r>
      <w:r>
        <w:rPr>
          <w:rFonts w:ascii="Times New Roman" w:hAnsi="Times New Roman" w:cs="Times New Roman"/>
          <w:sz w:val="24"/>
          <w:szCs w:val="24"/>
        </w:rPr>
        <w:t xml:space="preserve">%, но темпы этих вложений уступают темпам накопления свободной ликвидности. С </w:t>
      </w:r>
      <w:r>
        <w:rPr>
          <w:rFonts w:ascii="Times New Roman" w:hAnsi="Times New Roman" w:cs="Times New Roman"/>
          <w:sz w:val="24"/>
          <w:szCs w:val="24"/>
        </w:rPr>
        <w:lastRenderedPageBreak/>
        <w:t>точки зрения опт</w:t>
      </w:r>
      <w:r>
        <w:rPr>
          <w:rFonts w:ascii="Times New Roman" w:hAnsi="Times New Roman" w:cs="Times New Roman"/>
          <w:sz w:val="24"/>
          <w:szCs w:val="24"/>
        </w:rPr>
        <w:t>имизации инвестиционных процессов ключевая задача холдинга – не столько поиск внешнего финансирования, сколько эффективное использование уже аккумулированных внутренних ресурсов для проектов, способных повысить операционную эффективность и обеспечить долго</w:t>
      </w:r>
      <w:r>
        <w:rPr>
          <w:rFonts w:ascii="Times New Roman" w:hAnsi="Times New Roman" w:cs="Times New Roman"/>
          <w:sz w:val="24"/>
          <w:szCs w:val="24"/>
        </w:rPr>
        <w:t>срочный рост.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тем, оборотные активы выросли на 82</w:t>
      </w:r>
      <w:r>
        <w:rPr>
          <w:rFonts w:ascii="Times New Roman" w:hAnsi="Times New Roman" w:cs="Times New Roman"/>
          <w:sz w:val="24"/>
          <w:szCs w:val="24"/>
        </w:rPr>
        <w:t xml:space="preserve"> млн руб. (или на 74</w:t>
      </w:r>
      <w:r>
        <w:rPr>
          <w:rFonts w:ascii="Times New Roman" w:hAnsi="Times New Roman" w:cs="Times New Roman"/>
          <w:sz w:val="24"/>
          <w:szCs w:val="24"/>
        </w:rPr>
        <w:t>%), что многократно превышает темп прироста внеоборотных активов. Особенно заметен скачок денежных средств и краткосрочных финансовых вложений – с 6,5 млн руб. в 202</w:t>
      </w:r>
      <w:r>
        <w:rPr>
          <w:rFonts w:ascii="Times New Roman" w:hAnsi="Times New Roman" w:cs="Times New Roman"/>
          <w:sz w:val="24"/>
          <w:szCs w:val="24"/>
        </w:rPr>
        <w:t>3 году до почти 69</w:t>
      </w:r>
      <w:r>
        <w:rPr>
          <w:rFonts w:ascii="Times New Roman" w:hAnsi="Times New Roman" w:cs="Times New Roman"/>
          <w:sz w:val="24"/>
          <w:szCs w:val="24"/>
        </w:rPr>
        <w:t xml:space="preserve"> млн руб. в 2025 году (рост в 11 раз</w:t>
      </w:r>
      <w:r>
        <w:rPr>
          <w:rFonts w:ascii="Times New Roman" w:hAnsi="Times New Roman" w:cs="Times New Roman"/>
          <w:sz w:val="24"/>
          <w:szCs w:val="24"/>
        </w:rPr>
        <w:t xml:space="preserve">). Столь значительная ликвидная подушка может свидетельствовать о накоплении ресурсов под крупный инвестиционный проект, но также может указывать на временное отсутствие подходящих объектов для вложений </w:t>
      </w:r>
      <w:r>
        <w:rPr>
          <w:rFonts w:ascii="Times New Roman" w:hAnsi="Times New Roman" w:cs="Times New Roman"/>
          <w:sz w:val="24"/>
          <w:szCs w:val="24"/>
        </w:rPr>
        <w:t>либо на консервативную политику управления свободными денежными потоками. Для оптимизации инвестиционного процесса такое накопление создаёт как возможности, так и риски.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7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Проведённый анализ инвестиционной деятельности ООО «Шамса-Холдинг» в 2023-202</w:t>
      </w:r>
      <w:r>
        <w:rPr>
          <w:rFonts w:ascii="Times New Roman" w:hAnsi="Times New Roman" w:cs="Times New Roman"/>
          <w:sz w:val="24"/>
          <w:szCs w:val="24"/>
        </w:rPr>
        <w:t xml:space="preserve">5 годах показал, что реальные капиталовложения в основные средства составили 62 </w:t>
      </w:r>
      <w:r>
        <w:rPr>
          <w:rFonts w:ascii="Times New Roman" w:hAnsi="Times New Roman" w:cs="Times New Roman"/>
          <w:sz w:val="24"/>
          <w:szCs w:val="24"/>
        </w:rPr>
        <w:t xml:space="preserve">млн руб., что принесло прирост чистой прибыли 32 </w:t>
      </w:r>
      <w:r>
        <w:rPr>
          <w:rFonts w:ascii="Times New Roman" w:hAnsi="Times New Roman" w:cs="Times New Roman"/>
          <w:sz w:val="24"/>
          <w:szCs w:val="24"/>
        </w:rPr>
        <w:t xml:space="preserve">млн руб. Оценка статическими методами дала приемлемые результаты: простая норма прибыли (ARR) – около 17% годовых, простой </w:t>
      </w:r>
      <w:r>
        <w:rPr>
          <w:rFonts w:ascii="Times New Roman" w:hAnsi="Times New Roman" w:cs="Times New Roman"/>
          <w:sz w:val="24"/>
          <w:szCs w:val="24"/>
        </w:rPr>
        <w:t>срок окупаемости (PP) – 5,88 лет. Однако при росте выручки на 13,5% прибыль от продаж сократилась на 17</w:t>
      </w:r>
      <w:r>
        <w:rPr>
          <w:rFonts w:ascii="Times New Roman" w:hAnsi="Times New Roman" w:cs="Times New Roman"/>
          <w:sz w:val="24"/>
          <w:szCs w:val="24"/>
        </w:rPr>
        <w:t xml:space="preserve">% – инвестиции не повысили операционную эффективность. Ключевой результат – разрыв между накопленной ликвидностью (69 </w:t>
      </w:r>
      <w:r>
        <w:rPr>
          <w:rFonts w:ascii="Times New Roman" w:hAnsi="Times New Roman" w:cs="Times New Roman"/>
          <w:sz w:val="24"/>
          <w:szCs w:val="24"/>
        </w:rPr>
        <w:t xml:space="preserve">млн руб. на конец 2025 года) и </w:t>
      </w:r>
      <w:r>
        <w:rPr>
          <w:rFonts w:ascii="Times New Roman" w:hAnsi="Times New Roman" w:cs="Times New Roman"/>
          <w:sz w:val="24"/>
          <w:szCs w:val="24"/>
        </w:rPr>
        <w:t>фактическими инвестициями (примерно 20 млн руб. в год). Построенная модель гипотетического проекта (инвестиции 69</w:t>
      </w:r>
      <w:r>
        <w:rPr>
          <w:rFonts w:ascii="Times New Roman" w:hAnsi="Times New Roman" w:cs="Times New Roman"/>
          <w:sz w:val="24"/>
          <w:szCs w:val="24"/>
        </w:rPr>
        <w:t xml:space="preserve"> млн руб., ежегодный денежный поток 22 млн руб.) по динамическим методам дала положительные результаты: NPV = 10,5 млн руб., IRR =    18 </w:t>
      </w:r>
      <w:r>
        <w:rPr>
          <w:rFonts w:ascii="Times New Roman" w:hAnsi="Times New Roman" w:cs="Times New Roman"/>
          <w:sz w:val="24"/>
          <w:szCs w:val="24"/>
        </w:rPr>
        <w:t>% (вы</w:t>
      </w:r>
      <w:r>
        <w:rPr>
          <w:rFonts w:ascii="Times New Roman" w:hAnsi="Times New Roman" w:cs="Times New Roman"/>
          <w:sz w:val="24"/>
          <w:szCs w:val="24"/>
        </w:rPr>
        <w:t>ше стоимости капитала 12%), PI = 1,153, DPP = 4,16 года – что существенно лучше фактической окупаемости.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 8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Особого внимания заслуживает первая из перечисленных проблем – накопление избыточной ликвидности при отсутствии системной инвестиционной прог</w:t>
      </w:r>
      <w:r>
        <w:rPr>
          <w:rFonts w:ascii="Times New Roman" w:hAnsi="Times New Roman" w:cs="Times New Roman"/>
          <w:sz w:val="24"/>
          <w:szCs w:val="24"/>
        </w:rPr>
        <w:t>раммы. За три года остаток денежных средств и краткосрочных финансовых вложений вырос в 10,5 раза, достигнув 69</w:t>
      </w:r>
      <w:r>
        <w:rPr>
          <w:rFonts w:ascii="Times New Roman" w:hAnsi="Times New Roman" w:cs="Times New Roman"/>
          <w:sz w:val="24"/>
          <w:szCs w:val="24"/>
        </w:rPr>
        <w:t xml:space="preserve"> млн руб. Фактически предприятие регулярно генерирует свободный денежный поток, но не имеет механизма, который направлял бы этот поток в долгос</w:t>
      </w:r>
      <w:r>
        <w:rPr>
          <w:rFonts w:ascii="Times New Roman" w:hAnsi="Times New Roman" w:cs="Times New Roman"/>
          <w:sz w:val="24"/>
          <w:szCs w:val="24"/>
        </w:rPr>
        <w:t>рочные капитальные вложения. В результате значительная часть чистой прибыли и амортизации оседает на расчётных счетах, теряя свою реальную стоимость из-за инфляции. К этому добавляются альтернативные издержки – неполученный доход от проектов, которые могли</w:t>
      </w:r>
      <w:r>
        <w:rPr>
          <w:rFonts w:ascii="Times New Roman" w:hAnsi="Times New Roman" w:cs="Times New Roman"/>
          <w:sz w:val="24"/>
          <w:szCs w:val="24"/>
        </w:rPr>
        <w:t xml:space="preserve"> бы быть реализованы. Если бы накопленные средства были вложены в проект со среднеотраслевой доходностью 15%, то ежегодный недополученный доход составил бы около 10 млн руб.</w:t>
      </w:r>
    </w:p>
    <w:p w:rsidR="00EA7E75" w:rsidRDefault="004F5130">
      <w:pPr>
        <w:spacing w:after="0" w:line="276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Слайд 9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устранения этого недостатка предлагается комплекс организационных и </w:t>
      </w:r>
      <w:r>
        <w:rPr>
          <w:rFonts w:ascii="Times New Roman" w:hAnsi="Times New Roman" w:cs="Times New Roman"/>
          <w:sz w:val="24"/>
          <w:szCs w:val="24"/>
        </w:rPr>
        <w:t xml:space="preserve">методических мероприятий, направленных на превращение инвестиционной деятельности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в регулярный, измеримый и поддающийся оптимизации процесс. Представленные механики и последовательность шагов образуют законченную систему управления инвестиционными процесса</w:t>
      </w:r>
      <w:r>
        <w:rPr>
          <w:rFonts w:ascii="Times New Roman" w:hAnsi="Times New Roman" w:cs="Times New Roman"/>
          <w:sz w:val="24"/>
          <w:szCs w:val="24"/>
        </w:rPr>
        <w:t>ми. Они не требуют значительных дополнительных затрат на внедрение (кроме рабочего времени сотрудников), но позволяют кардинально изменить подход к использованию накопленного капитала. Внедрение этой системы превратит инвестиционную деятельность из интуити</w:t>
      </w:r>
      <w:r>
        <w:rPr>
          <w:rFonts w:ascii="Times New Roman" w:hAnsi="Times New Roman" w:cs="Times New Roman"/>
          <w:sz w:val="24"/>
          <w:szCs w:val="24"/>
        </w:rPr>
        <w:t>вной в регулярную, прозрачную и измеримую.</w:t>
      </w:r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10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затраты на внедрение предложенной системы за три года оценены в 2 150 тыс. руб., что включает обучение сотрудников, приобретение программного обеспечения и дополнительное рабочее время ключевых спе</w:t>
      </w:r>
      <w:r>
        <w:rPr>
          <w:rFonts w:ascii="Times New Roman" w:hAnsi="Times New Roman" w:cs="Times New Roman"/>
          <w:sz w:val="24"/>
          <w:szCs w:val="24"/>
        </w:rPr>
        <w:t>циалистов. Реализация первого же инвестиционного проекта за счёт накопленной ликвидности обеспечивает чистую приведённую стоимость в размере 10 529 тыс. руб. Вычитая затраты на внедрение, получаем чистый финансовый результат в 8 379 тыс. руб. Кроме того, п</w:t>
      </w:r>
      <w:r>
        <w:rPr>
          <w:rFonts w:ascii="Times New Roman" w:hAnsi="Times New Roman" w:cs="Times New Roman"/>
          <w:sz w:val="24"/>
          <w:szCs w:val="24"/>
        </w:rPr>
        <w:t>редотвращённые инфляционные потери от пассивного хранения средств за три года оцениваются примерно в 11 700 тыс. руб., что повышает совокупный экономический эффект до 20 млн руб.</w:t>
      </w: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финансовыми результатами, ожидаются важные нефинансовые эффекты: пов</w:t>
      </w:r>
      <w:r>
        <w:rPr>
          <w:rFonts w:ascii="Times New Roman" w:hAnsi="Times New Roman" w:cs="Times New Roman"/>
          <w:sz w:val="24"/>
          <w:szCs w:val="24"/>
        </w:rPr>
        <w:t>ышение обоснованности управленческих решений, ускорение инвестиционного цикла, прозрачность и контролируемость инвестиционной деятельности, укрепление мотивации персонала и кредитного рейтинга.</w:t>
      </w:r>
      <w:bookmarkStart w:id="0" w:name="_GoBack"/>
      <w:bookmarkEnd w:id="0"/>
    </w:p>
    <w:p w:rsidR="00EA7E75" w:rsidRDefault="00EA7E7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E75" w:rsidRDefault="004F51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окончен. Спасибо за внимание! Готов ответить на возможные вопросы.</w:t>
      </w:r>
    </w:p>
    <w:sectPr w:rsidR="00EA7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E75" w:rsidRDefault="004F5130">
      <w:pPr>
        <w:spacing w:line="240" w:lineRule="auto"/>
      </w:pPr>
      <w:r>
        <w:separator/>
      </w:r>
    </w:p>
  </w:endnote>
  <w:endnote w:type="continuationSeparator" w:id="0">
    <w:p w:rsidR="00EA7E75" w:rsidRDefault="004F51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E75" w:rsidRDefault="004F5130">
      <w:pPr>
        <w:spacing w:after="0"/>
      </w:pPr>
      <w:r>
        <w:separator/>
      </w:r>
    </w:p>
  </w:footnote>
  <w:footnote w:type="continuationSeparator" w:id="0">
    <w:p w:rsidR="00EA7E75" w:rsidRDefault="004F513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67"/>
    <w:rsid w:val="000605BE"/>
    <w:rsid w:val="00102152"/>
    <w:rsid w:val="00466A67"/>
    <w:rsid w:val="004F5130"/>
    <w:rsid w:val="0068774F"/>
    <w:rsid w:val="006E4E6E"/>
    <w:rsid w:val="00861961"/>
    <w:rsid w:val="00A42CF0"/>
    <w:rsid w:val="00EA7E75"/>
    <w:rsid w:val="2F44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1F14FD-AC67-4A21-BAE7-23C077F2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1052</Words>
  <Characters>6001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ZavKaf_FinBuh</cp:lastModifiedBy>
  <cp:revision>6</cp:revision>
  <cp:lastPrinted>2026-06-18T21:18:00Z</cp:lastPrinted>
  <dcterms:created xsi:type="dcterms:W3CDTF">2026-05-31T05:21:00Z</dcterms:created>
  <dcterms:modified xsi:type="dcterms:W3CDTF">2026-06-18T23:55:00Z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8936129A8E424985918BA7E0B6EC035C_12</vt:lpwstr>
  </property>
</Properties>
</file>